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69F07" w14:textId="40CC2D7F" w:rsidR="00BB28FB" w:rsidRPr="00BB28FB" w:rsidRDefault="007A69ED" w:rsidP="00BB28FB">
      <w:pPr>
        <w:pStyle w:val="Akapitzlist"/>
        <w:spacing w:after="120" w:line="360" w:lineRule="auto"/>
        <w:ind w:left="0"/>
        <w:jc w:val="right"/>
        <w:rPr>
          <w:rFonts w:cs="Calibri"/>
          <w:b/>
          <w:sz w:val="24"/>
          <w:szCs w:val="24"/>
          <w:u w:val="single"/>
        </w:rPr>
      </w:pPr>
      <w:r>
        <w:rPr>
          <w:rFonts w:ascii="Cambria" w:hAnsi="Cambria"/>
          <w:b/>
          <w:noProof/>
          <w:color w:val="000000"/>
        </w:rPr>
        <w:drawing>
          <wp:anchor distT="0" distB="0" distL="114300" distR="114300" simplePos="0" relativeHeight="251661312" behindDoc="1" locked="0" layoutInCell="1" allowOverlap="1" wp14:anchorId="1CF7A192" wp14:editId="44668D6D">
            <wp:simplePos x="0" y="0"/>
            <wp:positionH relativeFrom="column">
              <wp:posOffset>-160680</wp:posOffset>
            </wp:positionH>
            <wp:positionV relativeFrom="paragraph">
              <wp:posOffset>610</wp:posOffset>
            </wp:positionV>
            <wp:extent cx="2067558" cy="726435"/>
            <wp:effectExtent l="0" t="0" r="0" b="0"/>
            <wp:wrapTight wrapText="bothSides">
              <wp:wrapPolygon edited="0">
                <wp:start x="0" y="0"/>
                <wp:lineTo x="0" y="20976"/>
                <wp:lineTo x="21301" y="20976"/>
                <wp:lineTo x="21301" y="0"/>
                <wp:lineTo x="0" y="0"/>
              </wp:wrapPolygon>
            </wp:wrapTight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7558" cy="72643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28FB">
        <w:rPr>
          <w:rFonts w:cs="Calibri"/>
          <w:b/>
          <w:sz w:val="24"/>
          <w:szCs w:val="24"/>
          <w:u w:val="single"/>
        </w:rPr>
        <w:t>Załącznik nr 5</w:t>
      </w:r>
      <w:r w:rsidR="00D00406">
        <w:rPr>
          <w:rFonts w:cs="Calibri"/>
          <w:b/>
          <w:sz w:val="24"/>
          <w:szCs w:val="24"/>
          <w:u w:val="single"/>
        </w:rPr>
        <w:t xml:space="preserve"> do PFU</w:t>
      </w:r>
    </w:p>
    <w:p w14:paraId="56041D45" w14:textId="77777777" w:rsidR="007A69ED" w:rsidRDefault="007A69ED" w:rsidP="00BB28FB">
      <w:pPr>
        <w:pStyle w:val="Akapitzlist"/>
        <w:spacing w:after="120" w:line="360" w:lineRule="auto"/>
        <w:ind w:left="0"/>
        <w:jc w:val="both"/>
        <w:rPr>
          <w:rFonts w:cs="Calibri"/>
          <w:b/>
          <w:u w:val="single"/>
        </w:rPr>
      </w:pPr>
    </w:p>
    <w:p w14:paraId="6812D990" w14:textId="77777777" w:rsidR="007A69ED" w:rsidRDefault="007A69ED" w:rsidP="00BB28FB">
      <w:pPr>
        <w:pStyle w:val="Akapitzlist"/>
        <w:spacing w:after="120" w:line="360" w:lineRule="auto"/>
        <w:ind w:left="0"/>
        <w:jc w:val="both"/>
        <w:rPr>
          <w:rFonts w:cs="Calibri"/>
          <w:b/>
          <w:u w:val="single"/>
        </w:rPr>
      </w:pPr>
    </w:p>
    <w:p w14:paraId="4EEFBB11" w14:textId="36315D61" w:rsidR="00BB28FB" w:rsidRDefault="00BB28FB" w:rsidP="007A69ED">
      <w:pPr>
        <w:pStyle w:val="Akapitzlist"/>
        <w:spacing w:after="120" w:line="360" w:lineRule="auto"/>
        <w:ind w:left="0"/>
        <w:jc w:val="center"/>
      </w:pPr>
      <w:r>
        <w:rPr>
          <w:rFonts w:cs="Calibri"/>
          <w:b/>
          <w:u w:val="single"/>
        </w:rPr>
        <w:t>Oczekiwane parametry techniczne oprawy drogowej</w:t>
      </w:r>
    </w:p>
    <w:p w14:paraId="5DE847D3" w14:textId="77777777" w:rsidR="00BB28FB" w:rsidRPr="00BB28FB" w:rsidRDefault="00BB28FB" w:rsidP="00BB28FB">
      <w:pPr>
        <w:autoSpaceDE w:val="0"/>
        <w:spacing w:before="120" w:after="0"/>
        <w:jc w:val="both"/>
        <w:rPr>
          <w:rFonts w:eastAsia="CenturyGothic" w:cs="Calibri"/>
          <w:b/>
        </w:rPr>
      </w:pPr>
      <w:r w:rsidRPr="00BB28FB">
        <w:rPr>
          <w:rFonts w:eastAsia="CenturyGothic" w:cs="Calibri"/>
          <w:b/>
        </w:rPr>
        <w:t>Parametry konstrukcyjne:</w:t>
      </w:r>
    </w:p>
    <w:p w14:paraId="331862E3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Materiał korpusu: Wysokociśnieniowy odlew aluminiowy malowany proszkowo na kolor RAL7016</w:t>
      </w:r>
    </w:p>
    <w:p w14:paraId="49967442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Wnętrze komory optycznej, komory elektrycznej oraz elementy oprawy (np. pokrywa, uchwyt montażowy) zabezpieczone przed korozją powłoką lakierniczą. Nie dopuszcza się surowego materiału.</w:t>
      </w:r>
    </w:p>
    <w:p w14:paraId="2BF6E0FE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Materiał klosza: Płaskie hartowane szkło lub poliwęglan.</w:t>
      </w:r>
    </w:p>
    <w:p w14:paraId="39224205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Stopień odporności klosza na uderzenia mechaniczne: IK09. Wymagany jest raport z badań pochodzący z akredytowanego laboratorium.</w:t>
      </w:r>
    </w:p>
    <w:p w14:paraId="724B9A2C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Szczelność komory optycznej IP66</w:t>
      </w:r>
    </w:p>
    <w:p w14:paraId="59667A73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Szczelność komory elektrycznej IP66</w:t>
      </w:r>
    </w:p>
    <w:p w14:paraId="4B748058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Wymagany jest raport z badań szczelności pochodzący z akredytowanego laboratorium.</w:t>
      </w:r>
    </w:p>
    <w:p w14:paraId="4F6C7F64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Oprawa wyposażona w uniwersalny uchwyt stanowiący integralną część oprawy, pozwalający na montaż zarówno na wysięgniku jak i bezpośrednio na słupie. Kąt nachylenia oprawy jest możliwy w zakresie: od -10° do 120° (montaż bezpośredni) lub od -100° do 30° (montaż na wysięgniku). Zmiana sposobu montażu odbywa się bez konieczności zdejmowania oprawy.</w:t>
      </w:r>
    </w:p>
    <w:p w14:paraId="10600DDA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Uchwyt montażowy spełnia wymogi ANSI C136-31 3G. Wymagany jest raport z badań pochodzący z akredytowanego laboratorium.</w:t>
      </w:r>
    </w:p>
    <w:p w14:paraId="50001499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Uchwyt montażowy wykonany z tego samego materiału co korpus oprawy oraz malowany proszkowo na ten sam kolor (RAL7016)</w:t>
      </w:r>
    </w:p>
    <w:p w14:paraId="2E231876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Elementy mocujące oprawę na słupie, wysięgniku (śruby, podkładki) oraz klamry zamykające muszą być wykonane ze stali nierdzewnej.</w:t>
      </w:r>
    </w:p>
    <w:p w14:paraId="136E2968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Oprawa jedno lub dwukomorowa.</w:t>
      </w:r>
    </w:p>
    <w:p w14:paraId="043739A6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Dla opraw dwukomorowych dostęp do komory osprzętu elektrycznego bez użycia narzędzi za pomocą dwóch niezależnych zatrzasków. Oprawa musi posiadać dedykowane zawiasy chroniące pokrywę osprzętu przed upadkiem.</w:t>
      </w:r>
    </w:p>
    <w:p w14:paraId="55AB57FD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Zakres temperatury otoczenia podczas pracy oprawy: od -40°C do +40°C</w:t>
      </w:r>
    </w:p>
    <w:p w14:paraId="295B7814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Masa oprawy do 80W &lt;3,5kg do 130W &lt;4,5kg</w:t>
      </w:r>
    </w:p>
    <w:p w14:paraId="351A51B6" w14:textId="77777777" w:rsidR="00BB28FB" w:rsidRPr="00BB28FB" w:rsidRDefault="00BB28FB" w:rsidP="00BB28FB">
      <w:pPr>
        <w:autoSpaceDE w:val="0"/>
        <w:spacing w:before="120" w:after="0"/>
        <w:ind w:left="360"/>
        <w:jc w:val="both"/>
        <w:rPr>
          <w:rFonts w:eastAsia="CenturyGothic" w:cs="Calibri"/>
          <w:b/>
        </w:rPr>
      </w:pPr>
      <w:r w:rsidRPr="00BB28FB">
        <w:rPr>
          <w:rFonts w:eastAsia="CenturyGothic" w:cs="Calibri"/>
          <w:b/>
        </w:rPr>
        <w:t>Parametry elektryczne i funkcjonalność</w:t>
      </w:r>
    </w:p>
    <w:p w14:paraId="4DBD80AB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 xml:space="preserve">Oprawa wykonana w I lub II klasie ochronności elektrycznej, znamionowe napięcie zasilania 220-240 V / 50-60 </w:t>
      </w:r>
      <w:proofErr w:type="spellStart"/>
      <w:r w:rsidRPr="00BB28FB">
        <w:rPr>
          <w:rFonts w:cs="Calibri"/>
        </w:rPr>
        <w:t>Hz</w:t>
      </w:r>
      <w:proofErr w:type="spellEnd"/>
    </w:p>
    <w:p w14:paraId="79FDF9E2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Oprawa posiada moduł przyłączeniowy z wbudowanym ogranicznikiem przepięć 10kV typu 3 dedykowanym zarówno do opraw wykonanych w I jak i II klasy ochronności przeciwporażeniowej.</w:t>
      </w:r>
    </w:p>
    <w:p w14:paraId="1F68442C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Dodatkowe wejścia dedykowane do funkcjonalności: Bi-Power, 1 -10V lub DALI,</w:t>
      </w:r>
    </w:p>
    <w:p w14:paraId="7E0C0334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Autonomiczny system redukcji mocy.</w:t>
      </w:r>
    </w:p>
    <w:p w14:paraId="2DE3DD13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</w:pPr>
      <w:r w:rsidRPr="00BB28FB">
        <w:rPr>
          <w:rFonts w:cs="Calibri"/>
        </w:rPr>
        <w:t>Wykonywanie połączeń w obrębie urządzenia w sposób bez narzędziowy.</w:t>
      </w:r>
    </w:p>
    <w:p w14:paraId="19A4ED0F" w14:textId="77777777" w:rsidR="00BB28FB" w:rsidRPr="00BB28FB" w:rsidRDefault="00BB28FB" w:rsidP="00BB28FB">
      <w:pPr>
        <w:autoSpaceDE w:val="0"/>
        <w:spacing w:before="120" w:after="0"/>
        <w:ind w:left="360"/>
        <w:jc w:val="both"/>
        <w:rPr>
          <w:rFonts w:eastAsia="CenturyGothic" w:cs="Calibri"/>
          <w:b/>
        </w:rPr>
      </w:pPr>
      <w:r w:rsidRPr="00BB28FB">
        <w:rPr>
          <w:rFonts w:eastAsia="CenturyGothic" w:cs="Calibri"/>
          <w:b/>
        </w:rPr>
        <w:t>Parametry oświetleniowe i potwierdzenia</w:t>
      </w:r>
    </w:p>
    <w:p w14:paraId="6727130B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Skuteczność świetlna oprawy min. 130lm/W po uwzględnieniu strat</w:t>
      </w:r>
    </w:p>
    <w:p w14:paraId="6112687B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Budowa oprawy pozwalająca na wymianę układu optycznego oraz modułu zasilającego.</w:t>
      </w:r>
    </w:p>
    <w:p w14:paraId="1A3F2E92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</w:pPr>
      <w:r w:rsidRPr="00BB28FB">
        <w:rPr>
          <w:rFonts w:cs="Calibri"/>
        </w:rPr>
        <w:t>Wymiana elementów układu optycznego bez konieczności wykonywania połączeń lutowanych lub oprawa jednokomorowa.</w:t>
      </w:r>
    </w:p>
    <w:p w14:paraId="04EA627F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Oprawa wyposażona w system regulacji ciśnienia wewnątrz oprawy, zapobiegający zjawisku kondensacji pary wodnej w komorze elektrycznej.</w:t>
      </w:r>
    </w:p>
    <w:p w14:paraId="2ED1523E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Oprawa wyposażona w system optymalnego odprowadzenia ciepła (termiczne rozdzielenie pomiędzy układem zasilającym, a układem optycznym)</w:t>
      </w:r>
    </w:p>
    <w:p w14:paraId="2F4CDF87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lastRenderedPageBreak/>
        <w:t>Oprawa wykonana w technologii LED, bryła fotometryczna kształtowana za pomocą płaskiej wielosoczewkowej matrycy LED</w:t>
      </w:r>
    </w:p>
    <w:p w14:paraId="33281111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Konstrukcja bloku optycznego pozwala na montaż modułów z diodami wysokiej oraz średniej mocy</w:t>
      </w:r>
    </w:p>
    <w:p w14:paraId="2323768B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Temperatura barwowa źródeł światła: 4000K ±10% oraz 5000K – 6000K dla przejść dla pieszych.</w:t>
      </w:r>
    </w:p>
    <w:p w14:paraId="22878345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Każda z soczewek matrycy emituje taką samą krzywą światłości, a całkowity strumień oprawy jest sumą strumieni poszczególnych soczewek.</w:t>
      </w:r>
    </w:p>
    <w:p w14:paraId="43C3C090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Oprawy muszą spełniać wymagania normy EN 62471 „Bezpieczeństwo fotobiologiczne lamp i systemów lampowych”.</w:t>
      </w:r>
    </w:p>
    <w:p w14:paraId="47BF2DA0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 xml:space="preserve">Utrzymanie strumienia świetlnego w czasie: 90% po 100 000h dla prądu sterującego do 700 </w:t>
      </w:r>
      <w:proofErr w:type="spellStart"/>
      <w:r w:rsidRPr="00BB28FB">
        <w:rPr>
          <w:rFonts w:cs="Calibri"/>
        </w:rPr>
        <w:t>mA</w:t>
      </w:r>
      <w:proofErr w:type="spellEnd"/>
      <w:r w:rsidRPr="00BB28FB">
        <w:rPr>
          <w:rFonts w:cs="Calibri"/>
        </w:rPr>
        <w:t xml:space="preserve"> (zgodnie z IES LM-80 - TM-21)</w:t>
      </w:r>
    </w:p>
    <w:p w14:paraId="0C4640C0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Wartości wskaźnika udziału światła wysyłanego ku górze (ULOR) nie większa niż określona w Rozporządzeniu WE nr 245/2009</w:t>
      </w:r>
    </w:p>
    <w:p w14:paraId="7E2EAF42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Oprawa musi być oznakowana znakiem CE oraz posiadać deklarację zgodności.</w:t>
      </w:r>
    </w:p>
    <w:p w14:paraId="600668F1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Oprawa musi posiadać aktualny certyfikat akredytowanego ośrodka badawczego potwierdzający wykonanie wyrobu zgodnie z Normami zharmonizowanymi z Dyrektywą LVD (PN-EN 60598-1/PN-EN 60598-2-3) oraz zachowanie reżimów produkcji i jej powtarzalności, zgodnie z Typem 5 wg ISO/IEC 17067 - certyfikat ENEC lub równoważny.</w:t>
      </w:r>
    </w:p>
    <w:p w14:paraId="70F4CA07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cs="Calibri"/>
        </w:rPr>
      </w:pPr>
      <w:r w:rsidRPr="00BB28FB">
        <w:rPr>
          <w:rFonts w:cs="Calibri"/>
        </w:rPr>
        <w:t>Oprawa musi posiadać aktualny certyfikat akredytowanego ośrodka badawczego potwierdzający wiarygodność podawanych przez producenta parametrów funkcjonalnych deklarowanych w momencie wprowadzenia wyrobu do obrotu, takich jak: napięcie zasilania, klasa ochronności elektrycznej, pobierana moc, skuteczność świetlna, temperatura barwowa, strumień świetlny - certyfikat ENEC+ lub równoważny.</w:t>
      </w:r>
    </w:p>
    <w:p w14:paraId="79F75EA2" w14:textId="77777777" w:rsidR="00BB28FB" w:rsidRPr="00BB28FB" w:rsidRDefault="00BB28FB" w:rsidP="00BB28FB">
      <w:pPr>
        <w:pStyle w:val="Akapitzlist"/>
        <w:numPr>
          <w:ilvl w:val="0"/>
          <w:numId w:val="1"/>
        </w:numPr>
        <w:suppressAutoHyphens w:val="0"/>
        <w:spacing w:after="80" w:line="276" w:lineRule="auto"/>
        <w:ind w:left="714" w:hanging="357"/>
        <w:jc w:val="both"/>
        <w:textAlignment w:val="auto"/>
        <w:rPr>
          <w:rFonts w:cs="Calibri"/>
        </w:rPr>
      </w:pPr>
      <w:r w:rsidRPr="00BB28FB">
        <w:rPr>
          <w:rFonts w:cs="Calibri"/>
        </w:rPr>
        <w:t xml:space="preserve">Dostępność plików fotometrycznych (np. format. </w:t>
      </w:r>
      <w:proofErr w:type="spellStart"/>
      <w:r w:rsidRPr="00BB28FB">
        <w:rPr>
          <w:rFonts w:cs="Calibri"/>
        </w:rPr>
        <w:t>Ldt</w:t>
      </w:r>
      <w:proofErr w:type="spellEnd"/>
      <w:r w:rsidRPr="00BB28FB">
        <w:rPr>
          <w:rFonts w:cs="Calibri"/>
        </w:rPr>
        <w:t>, .</w:t>
      </w:r>
      <w:proofErr w:type="spellStart"/>
      <w:r w:rsidRPr="00BB28FB">
        <w:rPr>
          <w:rFonts w:cs="Calibri"/>
        </w:rPr>
        <w:t>les</w:t>
      </w:r>
      <w:proofErr w:type="spellEnd"/>
      <w:r w:rsidRPr="00BB28FB">
        <w:rPr>
          <w:rFonts w:cs="Calibri"/>
        </w:rPr>
        <w:t xml:space="preserve">). Pliki zamieszczone na stronie internetowej producenta lub dystrybutora pozwalające wykonać sprawdzające obliczenia fotometryczne przy użyciu ogólnodostępnych oświetleniowych programów komputerowych (np. </w:t>
      </w:r>
      <w:proofErr w:type="spellStart"/>
      <w:r w:rsidRPr="00BB28FB">
        <w:rPr>
          <w:rFonts w:cs="Calibri"/>
        </w:rPr>
        <w:t>Dialux</w:t>
      </w:r>
      <w:proofErr w:type="spellEnd"/>
      <w:r w:rsidRPr="00BB28FB">
        <w:rPr>
          <w:rFonts w:cs="Calibri"/>
        </w:rPr>
        <w:t xml:space="preserve">, </w:t>
      </w:r>
      <w:proofErr w:type="spellStart"/>
      <w:r w:rsidRPr="00BB28FB">
        <w:rPr>
          <w:rFonts w:cs="Calibri"/>
        </w:rPr>
        <w:t>Relux</w:t>
      </w:r>
      <w:proofErr w:type="spellEnd"/>
      <w:r w:rsidRPr="00BB28FB">
        <w:rPr>
          <w:rFonts w:cs="Calibri"/>
        </w:rPr>
        <w:t>)</w:t>
      </w:r>
    </w:p>
    <w:p w14:paraId="21F662DE" w14:textId="77777777" w:rsidR="00BB28FB" w:rsidRPr="00BB28FB" w:rsidRDefault="00BB28FB" w:rsidP="00BB28FB">
      <w:pPr>
        <w:pStyle w:val="Akapitzlist"/>
        <w:spacing w:after="120" w:line="360" w:lineRule="auto"/>
        <w:jc w:val="both"/>
        <w:rPr>
          <w:rFonts w:cs="Calibri"/>
          <w:bCs/>
        </w:rPr>
      </w:pPr>
      <w:r w:rsidRPr="00BB28FB">
        <w:rPr>
          <w:rFonts w:cs="Calibri"/>
          <w:bCs/>
        </w:rPr>
        <w:t>Wygląd, styl i wielkość oprawy podobny do rysunków zamieszczonych poniżej</w:t>
      </w:r>
    </w:p>
    <w:p w14:paraId="043B956D" w14:textId="77777777" w:rsidR="00BB28FB" w:rsidRPr="00BB28FB" w:rsidRDefault="00BB28FB" w:rsidP="00BB28FB">
      <w:pPr>
        <w:ind w:left="360"/>
        <w:jc w:val="both"/>
      </w:pPr>
      <w:r w:rsidRPr="00BB28FB">
        <w:rPr>
          <w:noProof/>
        </w:rPr>
        <w:drawing>
          <wp:anchor distT="0" distB="0" distL="114300" distR="114300" simplePos="0" relativeHeight="251659264" behindDoc="0" locked="0" layoutInCell="1" allowOverlap="1" wp14:anchorId="2573D27C" wp14:editId="675EADF2">
            <wp:simplePos x="0" y="0"/>
            <wp:positionH relativeFrom="column">
              <wp:posOffset>1137960</wp:posOffset>
            </wp:positionH>
            <wp:positionV relativeFrom="paragraph">
              <wp:posOffset>9360</wp:posOffset>
            </wp:positionV>
            <wp:extent cx="2324160" cy="2016719"/>
            <wp:effectExtent l="0" t="0" r="0" b="2581"/>
            <wp:wrapNone/>
            <wp:docPr id="1" name="Obraz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4160" cy="201671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tbl>
      <w:tblPr>
        <w:tblW w:w="16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620"/>
      </w:tblGrid>
      <w:tr w:rsidR="00BB28FB" w:rsidRPr="00BB28FB" w14:paraId="76FDDF38" w14:textId="77777777" w:rsidTr="002E3FC0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0219A" w14:textId="77777777" w:rsidR="00BB28FB" w:rsidRPr="00BB28FB" w:rsidRDefault="00BB28FB" w:rsidP="002E3FC0">
            <w:pPr>
              <w:spacing w:after="0"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 w:rsidRPr="00BB28FB">
              <w:rPr>
                <w:rFonts w:cs="Calibri"/>
                <w:sz w:val="20"/>
                <w:szCs w:val="20"/>
              </w:rPr>
              <w:t>A [mm]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61B30" w14:textId="77777777" w:rsidR="00BB28FB" w:rsidRPr="00BB28FB" w:rsidRDefault="00BB28FB" w:rsidP="002E3FC0">
            <w:pPr>
              <w:spacing w:after="0"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 w:rsidRPr="00BB28FB">
              <w:rPr>
                <w:rFonts w:cs="Calibri"/>
                <w:sz w:val="20"/>
                <w:szCs w:val="20"/>
              </w:rPr>
              <w:t>587</w:t>
            </w:r>
          </w:p>
        </w:tc>
      </w:tr>
      <w:tr w:rsidR="00BB28FB" w:rsidRPr="00BB28FB" w14:paraId="11DBA45F" w14:textId="77777777" w:rsidTr="002E3FC0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95EEF" w14:textId="77777777" w:rsidR="00BB28FB" w:rsidRPr="00BB28FB" w:rsidRDefault="00BB28FB" w:rsidP="002E3FC0">
            <w:pPr>
              <w:spacing w:after="0"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 w:rsidRPr="00BB28FB">
              <w:rPr>
                <w:rFonts w:cs="Calibri"/>
                <w:sz w:val="20"/>
                <w:szCs w:val="20"/>
              </w:rPr>
              <w:t>B [mm]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BA667" w14:textId="77777777" w:rsidR="00BB28FB" w:rsidRPr="00BB28FB" w:rsidRDefault="00BB28FB" w:rsidP="002E3FC0">
            <w:pPr>
              <w:spacing w:after="0"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 w:rsidRPr="00BB28FB">
              <w:rPr>
                <w:rFonts w:cs="Calibri"/>
                <w:sz w:val="20"/>
                <w:szCs w:val="20"/>
              </w:rPr>
              <w:t>94</w:t>
            </w:r>
          </w:p>
        </w:tc>
      </w:tr>
      <w:tr w:rsidR="00BB28FB" w:rsidRPr="00BB28FB" w14:paraId="42339360" w14:textId="77777777" w:rsidTr="002E3FC0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D9A04" w14:textId="77777777" w:rsidR="00BB28FB" w:rsidRPr="00BB28FB" w:rsidRDefault="00BB28FB" w:rsidP="002E3FC0">
            <w:pPr>
              <w:spacing w:after="0"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 w:rsidRPr="00BB28FB">
              <w:rPr>
                <w:rFonts w:cs="Calibri"/>
                <w:sz w:val="20"/>
                <w:szCs w:val="20"/>
              </w:rPr>
              <w:t>C [mm]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A6C90" w14:textId="77777777" w:rsidR="00BB28FB" w:rsidRPr="00BB28FB" w:rsidRDefault="00BB28FB" w:rsidP="002E3FC0">
            <w:pPr>
              <w:spacing w:after="0"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 w:rsidRPr="00BB28FB">
              <w:rPr>
                <w:rFonts w:cs="Calibri"/>
                <w:sz w:val="20"/>
                <w:szCs w:val="20"/>
              </w:rPr>
              <w:t>294</w:t>
            </w:r>
          </w:p>
        </w:tc>
      </w:tr>
    </w:tbl>
    <w:p w14:paraId="4FA99328" w14:textId="77777777" w:rsidR="00BB28FB" w:rsidRPr="00BB28FB" w:rsidRDefault="00BB28FB" w:rsidP="00BB28FB">
      <w:pPr>
        <w:pStyle w:val="Akapitzlist"/>
        <w:jc w:val="both"/>
      </w:pPr>
      <w:r w:rsidRPr="00BB28FB">
        <w:rPr>
          <w:rFonts w:cs="Calibri"/>
          <w:sz w:val="20"/>
          <w:szCs w:val="20"/>
        </w:rPr>
        <w:t xml:space="preserve"> </w:t>
      </w:r>
    </w:p>
    <w:p w14:paraId="377F401F" w14:textId="77777777" w:rsidR="00BB28FB" w:rsidRPr="00BB28FB" w:rsidRDefault="00BB28FB" w:rsidP="00BB28FB">
      <w:pPr>
        <w:pStyle w:val="Akapitzlist"/>
        <w:jc w:val="both"/>
        <w:rPr>
          <w:rFonts w:cs="Calibri"/>
          <w:sz w:val="20"/>
          <w:szCs w:val="20"/>
        </w:rPr>
      </w:pPr>
    </w:p>
    <w:p w14:paraId="27CBAFE4" w14:textId="77777777" w:rsidR="00BB28FB" w:rsidRPr="00BB28FB" w:rsidRDefault="00BB28FB" w:rsidP="00BB28FB">
      <w:pPr>
        <w:pStyle w:val="Akapitzlist"/>
        <w:jc w:val="both"/>
      </w:pPr>
      <w:r w:rsidRPr="00BB28FB">
        <w:rPr>
          <w:noProof/>
        </w:rPr>
        <w:drawing>
          <wp:anchor distT="0" distB="0" distL="114300" distR="114300" simplePos="0" relativeHeight="251660288" behindDoc="1" locked="0" layoutInCell="1" allowOverlap="1" wp14:anchorId="36440105" wp14:editId="69E7EA11">
            <wp:simplePos x="0" y="0"/>
            <wp:positionH relativeFrom="column">
              <wp:posOffset>2624400</wp:posOffset>
            </wp:positionH>
            <wp:positionV relativeFrom="paragraph">
              <wp:posOffset>640080</wp:posOffset>
            </wp:positionV>
            <wp:extent cx="3582720" cy="918359"/>
            <wp:effectExtent l="0" t="0" r="0" b="0"/>
            <wp:wrapNone/>
            <wp:docPr id="2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82720" cy="91835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4C27945F" w14:textId="77777777" w:rsidR="00226B34" w:rsidRPr="00BB28FB" w:rsidRDefault="00226B34"/>
    <w:sectPr w:rsidR="00226B34" w:rsidRPr="00BB2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Gothic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E6472C"/>
    <w:multiLevelType w:val="multilevel"/>
    <w:tmpl w:val="34A29E64"/>
    <w:lvl w:ilvl="0">
      <w:numFmt w:val="bullet"/>
      <w:lvlText w:val=""/>
      <w:lvlJc w:val="left"/>
      <w:pPr>
        <w:ind w:left="72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402410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8FB"/>
    <w:rsid w:val="00226B34"/>
    <w:rsid w:val="007A69ED"/>
    <w:rsid w:val="00BB28FB"/>
    <w:rsid w:val="00D0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1C126"/>
  <w15:chartTrackingRefBased/>
  <w15:docId w15:val="{47C47E31-E84A-45EF-BD8B-B36D7C671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28FB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BB28F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686</Words>
  <Characters>4116</Characters>
  <Application>Microsoft Office Word</Application>
  <DocSecurity>0</DocSecurity>
  <Lines>34</Lines>
  <Paragraphs>9</Paragraphs>
  <ScaleCrop>false</ScaleCrop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Jach</dc:creator>
  <cp:keywords/>
  <dc:description/>
  <cp:lastModifiedBy>administrator3</cp:lastModifiedBy>
  <cp:revision>3</cp:revision>
  <cp:lastPrinted>2023-02-20T09:51:00Z</cp:lastPrinted>
  <dcterms:created xsi:type="dcterms:W3CDTF">2023-01-16T09:51:00Z</dcterms:created>
  <dcterms:modified xsi:type="dcterms:W3CDTF">2023-02-20T10:54:00Z</dcterms:modified>
</cp:coreProperties>
</file>